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742FB953"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0490F">
        <w:rPr>
          <w:rFonts w:ascii="Times New Roman" w:hAnsi="Times New Roman" w:cs="Times New Roman"/>
          <w:b/>
          <w:color w:val="FF0000"/>
        </w:rPr>
        <w:t>SE</w:t>
      </w:r>
      <w:r w:rsidR="001F3918">
        <w:rPr>
          <w:rFonts w:ascii="Times New Roman" w:hAnsi="Times New Roman" w:cs="Times New Roman"/>
          <w:b/>
          <w:color w:val="FF0000"/>
        </w:rPr>
        <w:t>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0490F">
        <w:rPr>
          <w:rFonts w:ascii="Times New Roman" w:hAnsi="Times New Roman" w:cs="Times New Roman"/>
          <w:b/>
          <w:color w:val="FF0000"/>
        </w:rPr>
        <w:t>862</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600ABD">
        <w:rPr>
          <w:rFonts w:ascii="Times New Roman" w:hAnsi="Times New Roman" w:cs="Times New Roman"/>
          <w:b/>
          <w:color w:val="FF0000"/>
        </w:rPr>
        <w:t>21</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0AEC898F"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90490F">
        <w:rPr>
          <w:rFonts w:ascii="Times New Roman" w:hAnsi="Times New Roman" w:cs="Times New Roman"/>
        </w:rPr>
        <w:t xml:space="preserve">Signal Conditioner &amp; NI </w:t>
      </w:r>
      <w:proofErr w:type="spellStart"/>
      <w:r w:rsidR="0090490F">
        <w:rPr>
          <w:rFonts w:ascii="Times New Roman" w:hAnsi="Times New Roman" w:cs="Times New Roman"/>
        </w:rPr>
        <w:t>Labview</w:t>
      </w:r>
      <w:proofErr w:type="spellEnd"/>
      <w:r w:rsidR="0090490F">
        <w:rPr>
          <w:rFonts w:ascii="Times New Roman" w:hAnsi="Times New Roman" w:cs="Times New Roman"/>
        </w:rPr>
        <w:t xml:space="preserve"> Academic licence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791A8E5" w:rsidR="004D7B01" w:rsidRDefault="0090490F"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11</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74CAAFB1" w14:textId="77777777" w:rsidR="00600ABD" w:rsidRDefault="0090490F" w:rsidP="00600ABD">
            <w:pPr>
              <w:tabs>
                <w:tab w:val="left" w:pos="0"/>
              </w:tabs>
              <w:ind w:left="30"/>
              <w:rPr>
                <w:color w:val="FF0000"/>
              </w:rPr>
            </w:pPr>
            <w:r w:rsidRPr="0090490F">
              <w:rPr>
                <w:color w:val="FF0000"/>
              </w:rPr>
              <w:t>SIGNAL CONDITIONER</w:t>
            </w:r>
          </w:p>
          <w:p w14:paraId="7B8B016F" w14:textId="77777777" w:rsidR="0090490F" w:rsidRPr="0090490F" w:rsidRDefault="0090490F" w:rsidP="0090490F">
            <w:pPr>
              <w:tabs>
                <w:tab w:val="left" w:pos="0"/>
              </w:tabs>
              <w:ind w:left="30"/>
              <w:rPr>
                <w:color w:val="FF0000"/>
              </w:rPr>
            </w:pPr>
            <w:proofErr w:type="spellStart"/>
            <w:r w:rsidRPr="0090490F">
              <w:rPr>
                <w:color w:val="FF0000"/>
              </w:rPr>
              <w:t>Integreated</w:t>
            </w:r>
            <w:proofErr w:type="spellEnd"/>
            <w:r w:rsidRPr="0090490F">
              <w:rPr>
                <w:color w:val="FF0000"/>
              </w:rPr>
              <w:t xml:space="preserve"> Controller and Chassis</w:t>
            </w:r>
          </w:p>
          <w:p w14:paraId="1EC2F69D" w14:textId="77777777" w:rsidR="0090490F" w:rsidRPr="0090490F" w:rsidRDefault="0090490F" w:rsidP="0090490F">
            <w:pPr>
              <w:tabs>
                <w:tab w:val="left" w:pos="0"/>
              </w:tabs>
              <w:ind w:left="30"/>
              <w:rPr>
                <w:color w:val="FF0000"/>
              </w:rPr>
            </w:pPr>
            <w:r w:rsidRPr="0090490F">
              <w:rPr>
                <w:color w:val="FF0000"/>
              </w:rPr>
              <w:t xml:space="preserve">NI PXIe-1073 </w:t>
            </w:r>
            <w:proofErr w:type="spellStart"/>
            <w:r w:rsidRPr="0090490F">
              <w:rPr>
                <w:color w:val="FF0000"/>
              </w:rPr>
              <w:t>Integreated</w:t>
            </w:r>
            <w:proofErr w:type="spellEnd"/>
            <w:r w:rsidRPr="0090490F">
              <w:rPr>
                <w:color w:val="FF0000"/>
              </w:rPr>
              <w:t xml:space="preserve"> </w:t>
            </w:r>
            <w:proofErr w:type="spellStart"/>
            <w:r w:rsidRPr="0090490F">
              <w:rPr>
                <w:color w:val="FF0000"/>
              </w:rPr>
              <w:t>MXIe</w:t>
            </w:r>
            <w:proofErr w:type="spellEnd"/>
            <w:r w:rsidRPr="0090490F">
              <w:rPr>
                <w:color w:val="FF0000"/>
              </w:rPr>
              <w:t xml:space="preserve">, 5 </w:t>
            </w:r>
            <w:proofErr w:type="spellStart"/>
            <w:r w:rsidRPr="0090490F">
              <w:rPr>
                <w:color w:val="FF0000"/>
              </w:rPr>
              <w:t>Periph</w:t>
            </w:r>
            <w:proofErr w:type="spellEnd"/>
          </w:p>
          <w:p w14:paraId="387B9F1B" w14:textId="77777777" w:rsidR="0090490F" w:rsidRPr="0090490F" w:rsidRDefault="0090490F" w:rsidP="0090490F">
            <w:pPr>
              <w:tabs>
                <w:tab w:val="left" w:pos="0"/>
              </w:tabs>
              <w:ind w:left="30"/>
              <w:rPr>
                <w:color w:val="FF0000"/>
              </w:rPr>
            </w:pPr>
            <w:r w:rsidRPr="0090490F">
              <w:rPr>
                <w:color w:val="FF0000"/>
              </w:rPr>
              <w:t>Slots, PCIe-8361, 3m Cable</w:t>
            </w:r>
          </w:p>
          <w:p w14:paraId="79939FE1" w14:textId="77777777" w:rsidR="0090490F" w:rsidRPr="0090490F" w:rsidRDefault="0090490F" w:rsidP="0090490F">
            <w:pPr>
              <w:tabs>
                <w:tab w:val="left" w:pos="0"/>
              </w:tabs>
              <w:ind w:left="30"/>
              <w:rPr>
                <w:color w:val="FF0000"/>
              </w:rPr>
            </w:pPr>
            <w:r w:rsidRPr="0090490F">
              <w:rPr>
                <w:color w:val="FF0000"/>
              </w:rPr>
              <w:t>Standard Service Program for Systems</w:t>
            </w:r>
          </w:p>
          <w:p w14:paraId="79F22013" w14:textId="66D087B2" w:rsidR="0090490F" w:rsidRPr="0090490F" w:rsidRDefault="0090490F" w:rsidP="0090490F">
            <w:pPr>
              <w:tabs>
                <w:tab w:val="left" w:pos="0"/>
              </w:tabs>
              <w:ind w:left="30"/>
              <w:rPr>
                <w:color w:val="FF0000"/>
              </w:rPr>
            </w:pPr>
            <w:r w:rsidRPr="0090490F">
              <w:rPr>
                <w:color w:val="FF0000"/>
              </w:rPr>
              <w:t>Power cord, 250V, 10A, India</w:t>
            </w:r>
          </w:p>
          <w:p w14:paraId="58C56EFD" w14:textId="77777777" w:rsidR="0090490F" w:rsidRPr="0090490F" w:rsidRDefault="0090490F" w:rsidP="0090490F">
            <w:pPr>
              <w:tabs>
                <w:tab w:val="left" w:pos="0"/>
              </w:tabs>
              <w:ind w:left="30"/>
              <w:rPr>
                <w:color w:val="FF0000"/>
              </w:rPr>
            </w:pPr>
            <w:r w:rsidRPr="0090490F">
              <w:rPr>
                <w:color w:val="FF0000"/>
              </w:rPr>
              <w:t>Modules</w:t>
            </w:r>
          </w:p>
          <w:p w14:paraId="293FC3F1" w14:textId="77777777" w:rsidR="0090490F" w:rsidRPr="0090490F" w:rsidRDefault="0090490F" w:rsidP="0090490F">
            <w:pPr>
              <w:tabs>
                <w:tab w:val="left" w:pos="0"/>
              </w:tabs>
              <w:ind w:left="30"/>
              <w:rPr>
                <w:color w:val="FF0000"/>
              </w:rPr>
            </w:pPr>
            <w:r w:rsidRPr="0090490F">
              <w:rPr>
                <w:color w:val="FF0000"/>
              </w:rPr>
              <w:t>NI PXIe-4339 8-Ch, 24-bit, 25.6kS/s Bridge and Voltage Input Module</w:t>
            </w:r>
          </w:p>
          <w:p w14:paraId="0E4CBAD6" w14:textId="77777777" w:rsidR="0090490F" w:rsidRPr="0090490F" w:rsidRDefault="0090490F" w:rsidP="0090490F">
            <w:pPr>
              <w:tabs>
                <w:tab w:val="left" w:pos="0"/>
              </w:tabs>
              <w:ind w:left="30"/>
              <w:rPr>
                <w:color w:val="FF0000"/>
              </w:rPr>
            </w:pPr>
            <w:r w:rsidRPr="0090490F">
              <w:rPr>
                <w:color w:val="FF0000"/>
              </w:rPr>
              <w:t>Standard Service Program for Systems</w:t>
            </w:r>
          </w:p>
          <w:p w14:paraId="30A865C1" w14:textId="77777777" w:rsidR="0090490F" w:rsidRPr="0090490F" w:rsidRDefault="0090490F" w:rsidP="0090490F">
            <w:pPr>
              <w:tabs>
                <w:tab w:val="left" w:pos="0"/>
              </w:tabs>
              <w:ind w:left="30"/>
              <w:rPr>
                <w:color w:val="FF0000"/>
              </w:rPr>
            </w:pPr>
            <w:r w:rsidRPr="0090490F">
              <w:rPr>
                <w:color w:val="FF0000"/>
              </w:rPr>
              <w:t xml:space="preserve">TB-4339C, Front mount TB :1kOhm 1/4 bridge, 100k-ohm shunt </w:t>
            </w:r>
            <w:proofErr w:type="spellStart"/>
            <w:r w:rsidRPr="0090490F">
              <w:rPr>
                <w:color w:val="FF0000"/>
              </w:rPr>
              <w:t>cal</w:t>
            </w:r>
            <w:proofErr w:type="spellEnd"/>
          </w:p>
          <w:p w14:paraId="0E899EA2" w14:textId="68F2AAAD" w:rsidR="0090490F" w:rsidRPr="0090490F" w:rsidRDefault="0090490F" w:rsidP="0090490F">
            <w:pPr>
              <w:tabs>
                <w:tab w:val="left" w:pos="0"/>
              </w:tabs>
              <w:ind w:left="30"/>
              <w:rPr>
                <w:color w:val="FF0000"/>
              </w:rPr>
            </w:pPr>
            <w:r w:rsidRPr="0090490F">
              <w:rPr>
                <w:color w:val="FF0000"/>
              </w:rPr>
              <w:t>Standard Service Program for Systems</w:t>
            </w:r>
          </w:p>
          <w:p w14:paraId="50977708" w14:textId="77777777" w:rsidR="0090490F" w:rsidRPr="0090490F" w:rsidRDefault="0090490F" w:rsidP="0090490F">
            <w:pPr>
              <w:tabs>
                <w:tab w:val="left" w:pos="0"/>
              </w:tabs>
              <w:ind w:left="30"/>
              <w:rPr>
                <w:color w:val="FF0000"/>
              </w:rPr>
            </w:pPr>
            <w:r w:rsidRPr="0090490F">
              <w:rPr>
                <w:color w:val="FF0000"/>
              </w:rPr>
              <w:t>Services</w:t>
            </w:r>
          </w:p>
          <w:p w14:paraId="3EC3E2FD" w14:textId="5DBE4100" w:rsidR="0090490F" w:rsidRPr="001616D9" w:rsidRDefault="0090490F" w:rsidP="0090490F">
            <w:pPr>
              <w:tabs>
                <w:tab w:val="left" w:pos="0"/>
              </w:tabs>
              <w:ind w:left="30"/>
              <w:rPr>
                <w:color w:val="FF0000"/>
              </w:rPr>
            </w:pPr>
            <w:r w:rsidRPr="0090490F">
              <w:rPr>
                <w:color w:val="FF0000"/>
              </w:rPr>
              <w:t>Standard Service Program for PXI Systems for 3 years</w:t>
            </w:r>
          </w:p>
        </w:tc>
        <w:tc>
          <w:tcPr>
            <w:tcW w:w="1060" w:type="dxa"/>
          </w:tcPr>
          <w:p w14:paraId="7BE7E730" w14:textId="736F547A" w:rsidR="004D7B01" w:rsidRDefault="00600ABD"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90490F">
              <w:rPr>
                <w:rFonts w:ascii="Times New Roman" w:hAnsi="Times New Roman" w:cs="Times New Roman"/>
                <w:b/>
                <w:color w:val="FF0000"/>
              </w:rPr>
              <w:t>1</w:t>
            </w:r>
            <w:r w:rsidR="005E0BA2">
              <w:rPr>
                <w:rFonts w:ascii="Times New Roman" w:hAnsi="Times New Roman" w:cs="Times New Roman"/>
                <w:b/>
                <w:color w:val="FF0000"/>
              </w:rPr>
              <w:t xml:space="preserve"> Nos.</w:t>
            </w:r>
          </w:p>
        </w:tc>
      </w:tr>
      <w:tr w:rsidR="0090490F" w14:paraId="0C0DAF87" w14:textId="77777777" w:rsidTr="000A5C59">
        <w:trPr>
          <w:trHeight w:val="220"/>
        </w:trPr>
        <w:tc>
          <w:tcPr>
            <w:tcW w:w="959" w:type="dxa"/>
          </w:tcPr>
          <w:p w14:paraId="6170D300" w14:textId="04139288" w:rsidR="0090490F" w:rsidRDefault="0090490F"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225F036D" w14:textId="77777777" w:rsidR="0090490F" w:rsidRDefault="0090490F" w:rsidP="00600ABD">
            <w:pPr>
              <w:tabs>
                <w:tab w:val="left" w:pos="0"/>
              </w:tabs>
              <w:ind w:left="30"/>
              <w:rPr>
                <w:color w:val="FF0000"/>
              </w:rPr>
            </w:pPr>
            <w:r w:rsidRPr="0090490F">
              <w:rPr>
                <w:color w:val="FF0000"/>
              </w:rPr>
              <w:t>NI LABVIEW ACADEMIC SITE LICENCE</w:t>
            </w:r>
          </w:p>
          <w:p w14:paraId="3ECFE227" w14:textId="77777777" w:rsidR="0090490F" w:rsidRPr="0090490F" w:rsidRDefault="0090490F" w:rsidP="0090490F">
            <w:pPr>
              <w:tabs>
                <w:tab w:val="left" w:pos="0"/>
              </w:tabs>
              <w:ind w:left="30"/>
              <w:rPr>
                <w:color w:val="FF0000"/>
              </w:rPr>
            </w:pPr>
            <w:r w:rsidRPr="0090490F">
              <w:rPr>
                <w:color w:val="FF0000"/>
              </w:rPr>
              <w:t>NI Academic Site License - Lab VIEW</w:t>
            </w:r>
          </w:p>
          <w:p w14:paraId="4823BAA0" w14:textId="77777777" w:rsidR="0090490F" w:rsidRPr="0090490F" w:rsidRDefault="0090490F" w:rsidP="0090490F">
            <w:pPr>
              <w:tabs>
                <w:tab w:val="left" w:pos="0"/>
              </w:tabs>
              <w:ind w:left="30"/>
              <w:rPr>
                <w:color w:val="FF0000"/>
              </w:rPr>
            </w:pPr>
            <w:r w:rsidRPr="0090490F">
              <w:rPr>
                <w:color w:val="FF0000"/>
              </w:rPr>
              <w:t>research only,  1 Year SSP</w:t>
            </w:r>
          </w:p>
          <w:p w14:paraId="405B7EE4" w14:textId="1DBB5868" w:rsidR="0090490F" w:rsidRPr="001616D9" w:rsidRDefault="0090490F" w:rsidP="0090490F">
            <w:pPr>
              <w:tabs>
                <w:tab w:val="left" w:pos="0"/>
              </w:tabs>
              <w:ind w:left="30"/>
              <w:rPr>
                <w:color w:val="FF0000"/>
              </w:rPr>
            </w:pPr>
            <w:r w:rsidRPr="0090490F">
              <w:rPr>
                <w:color w:val="FF0000"/>
              </w:rPr>
              <w:t>Perpetual License version 2021</w:t>
            </w:r>
          </w:p>
        </w:tc>
        <w:tc>
          <w:tcPr>
            <w:tcW w:w="1060" w:type="dxa"/>
          </w:tcPr>
          <w:p w14:paraId="111FCD25" w14:textId="14958756" w:rsidR="0090490F" w:rsidRDefault="0090490F"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Pack</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D7C91C2"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0490F">
              <w:rPr>
                <w:rFonts w:ascii="Times New Roman" w:hAnsi="Times New Roman" w:cs="Times New Roman"/>
                <w:b/>
                <w:color w:val="FF0000"/>
              </w:rPr>
              <w:t>BIT/PUR/LTE</w:t>
            </w:r>
            <w:r w:rsidR="0090490F" w:rsidRPr="00EA60F8">
              <w:rPr>
                <w:rFonts w:ascii="Times New Roman" w:hAnsi="Times New Roman" w:cs="Times New Roman"/>
                <w:b/>
                <w:color w:val="FF0000"/>
              </w:rPr>
              <w:t>/</w:t>
            </w:r>
            <w:r w:rsidR="0090490F">
              <w:rPr>
                <w:rFonts w:ascii="Times New Roman" w:hAnsi="Times New Roman" w:cs="Times New Roman"/>
                <w:b/>
                <w:color w:val="FF0000"/>
              </w:rPr>
              <w:t>SER/21-22</w:t>
            </w:r>
            <w:r w:rsidR="0090490F" w:rsidRPr="00EA60F8">
              <w:rPr>
                <w:rFonts w:ascii="Times New Roman" w:hAnsi="Times New Roman" w:cs="Times New Roman"/>
                <w:b/>
                <w:color w:val="FF0000"/>
              </w:rPr>
              <w:t>/</w:t>
            </w:r>
            <w:r w:rsidR="0090490F">
              <w:rPr>
                <w:rFonts w:ascii="Times New Roman" w:hAnsi="Times New Roman" w:cs="Times New Roman"/>
                <w:b/>
                <w:color w:val="FF0000"/>
              </w:rPr>
              <w:t>/IC000862/2021</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Pr="007D614A" w:rsidRDefault="00D25BF4" w:rsidP="00D25BF4">
      <w:pPr>
        <w:pStyle w:val="ListParagraph"/>
        <w:numPr>
          <w:ilvl w:val="0"/>
          <w:numId w:val="1"/>
        </w:numPr>
        <w:tabs>
          <w:tab w:val="left" w:pos="0"/>
        </w:tabs>
        <w:spacing w:after="200" w:line="276" w:lineRule="auto"/>
        <w:ind w:left="0"/>
        <w:jc w:val="both"/>
        <w:rPr>
          <w:sz w:val="22"/>
          <w:szCs w:val="22"/>
        </w:rPr>
      </w:pPr>
      <w:r w:rsidRPr="007D614A">
        <w:rPr>
          <w:sz w:val="22"/>
          <w:szCs w:val="22"/>
        </w:rP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lastRenderedPageBreak/>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Pr="007D614A" w:rsidRDefault="00D25BF4" w:rsidP="003E4A66">
      <w:pPr>
        <w:pStyle w:val="ListParagraph"/>
        <w:numPr>
          <w:ilvl w:val="0"/>
          <w:numId w:val="1"/>
        </w:numPr>
        <w:tabs>
          <w:tab w:val="left" w:pos="0"/>
        </w:tabs>
        <w:spacing w:after="200" w:line="276" w:lineRule="auto"/>
        <w:ind w:left="0"/>
        <w:jc w:val="both"/>
        <w:rPr>
          <w:sz w:val="20"/>
          <w:szCs w:val="20"/>
        </w:rPr>
      </w:pPr>
      <w:r w:rsidRPr="007D614A">
        <w:rPr>
          <w:sz w:val="20"/>
          <w:szCs w:val="20"/>
        </w:rP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Pr="007D614A" w:rsidRDefault="001746FA" w:rsidP="00AB01C3">
      <w:pPr>
        <w:pStyle w:val="ListParagraph"/>
        <w:numPr>
          <w:ilvl w:val="0"/>
          <w:numId w:val="1"/>
        </w:numPr>
        <w:tabs>
          <w:tab w:val="left" w:pos="0"/>
        </w:tabs>
        <w:spacing w:after="200" w:line="276" w:lineRule="auto"/>
        <w:ind w:left="0"/>
        <w:jc w:val="both"/>
        <w:rPr>
          <w:sz w:val="22"/>
          <w:szCs w:val="22"/>
        </w:rPr>
      </w:pPr>
      <w:r w:rsidRPr="007D614A">
        <w:rPr>
          <w:sz w:val="22"/>
          <w:szCs w:val="22"/>
        </w:rP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E95D" w14:textId="77777777" w:rsidR="00510BE6" w:rsidRDefault="00510BE6" w:rsidP="00B44628">
      <w:pPr>
        <w:spacing w:after="0" w:line="240" w:lineRule="auto"/>
      </w:pPr>
      <w:r>
        <w:separator/>
      </w:r>
    </w:p>
  </w:endnote>
  <w:endnote w:type="continuationSeparator" w:id="0">
    <w:p w14:paraId="5E64B43C" w14:textId="77777777" w:rsidR="00510BE6" w:rsidRDefault="00510BE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9088" w14:textId="77777777" w:rsidR="00510BE6" w:rsidRDefault="00510BE6" w:rsidP="00B44628">
      <w:pPr>
        <w:spacing w:after="0" w:line="240" w:lineRule="auto"/>
      </w:pPr>
      <w:r>
        <w:separator/>
      </w:r>
    </w:p>
  </w:footnote>
  <w:footnote w:type="continuationSeparator" w:id="0">
    <w:p w14:paraId="459E178B" w14:textId="77777777" w:rsidR="00510BE6" w:rsidRDefault="00510BE6"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10BE6"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10BE6"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10BE6"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3918"/>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10BE6"/>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ABD"/>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14A"/>
    <w:rsid w:val="007E5CEF"/>
    <w:rsid w:val="00807DC1"/>
    <w:rsid w:val="00810578"/>
    <w:rsid w:val="0082256B"/>
    <w:rsid w:val="00825BFC"/>
    <w:rsid w:val="00835117"/>
    <w:rsid w:val="00872520"/>
    <w:rsid w:val="0087433A"/>
    <w:rsid w:val="00880A54"/>
    <w:rsid w:val="008820F8"/>
    <w:rsid w:val="008838E3"/>
    <w:rsid w:val="00890FCB"/>
    <w:rsid w:val="008B08B1"/>
    <w:rsid w:val="008B7889"/>
    <w:rsid w:val="008B7F05"/>
    <w:rsid w:val="008D29B0"/>
    <w:rsid w:val="00901C48"/>
    <w:rsid w:val="00903EB8"/>
    <w:rsid w:val="0090490F"/>
    <w:rsid w:val="00915D66"/>
    <w:rsid w:val="00930E3E"/>
    <w:rsid w:val="00933EE6"/>
    <w:rsid w:val="00943DB3"/>
    <w:rsid w:val="00945C4A"/>
    <w:rsid w:val="009468D8"/>
    <w:rsid w:val="009600A7"/>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13ED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B505A"/>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78</cp:revision>
  <cp:lastPrinted>2020-12-17T06:30:00Z</cp:lastPrinted>
  <dcterms:created xsi:type="dcterms:W3CDTF">2017-08-08T09:39:00Z</dcterms:created>
  <dcterms:modified xsi:type="dcterms:W3CDTF">2022-01-21T12:07:00Z</dcterms:modified>
</cp:coreProperties>
</file>